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23B5" w14:textId="77777777" w:rsidR="00584A33" w:rsidRPr="00B9783E" w:rsidRDefault="001D1C06" w:rsidP="001D1C06">
      <w:r w:rsidRPr="00B9783E">
        <w:rPr>
          <w:b/>
        </w:rPr>
        <w:t xml:space="preserve">Project Title:  </w:t>
      </w:r>
      <w:r w:rsidRPr="00B9783E">
        <w:t>Effects of irrigation and management practices on soil health and soil salinity in processing tomatoes</w:t>
      </w:r>
    </w:p>
    <w:p w14:paraId="26B3757A" w14:textId="77777777" w:rsidR="001D1C06" w:rsidRPr="00B9783E" w:rsidRDefault="001D1C06" w:rsidP="001D1C06">
      <w:r w:rsidRPr="00B9783E">
        <w:rPr>
          <w:b/>
        </w:rPr>
        <w:t xml:space="preserve">Principal Investigator:  </w:t>
      </w:r>
      <w:r w:rsidRPr="00B9783E">
        <w:t>Kate Scow, Professor, Dept. of Land, Air and Water Resources, 3236 Plant &amp; Environmental Sciences, One Shields Ave. University of California, Davis, CA 95616. 530-752-4632; kmscow@ucdavis.edu</w:t>
      </w:r>
    </w:p>
    <w:p w14:paraId="4DAE8EEE" w14:textId="77777777" w:rsidR="001D1C06" w:rsidRPr="00B9783E" w:rsidRDefault="001D1C06" w:rsidP="001D1C06">
      <w:r w:rsidRPr="00B9783E">
        <w:rPr>
          <w:b/>
        </w:rPr>
        <w:t xml:space="preserve">Co-Investigators:  </w:t>
      </w:r>
      <w:r w:rsidRPr="00B9783E">
        <w:t>Nicole Tautges, Research Manager, Russell Ranch Sustainable Agriculture Facility, 3314 Plant &amp; Environmental Sciences, One Shield Ave. University of California, Davis, CA 95616. 530-219-5380; netautges@ucdavis.edu</w:t>
      </w:r>
    </w:p>
    <w:p w14:paraId="3CAE1BFD" w14:textId="77777777" w:rsidR="001D1C06" w:rsidRPr="00B9783E" w:rsidRDefault="001D1C06" w:rsidP="001D1C06">
      <w:r w:rsidRPr="00B9783E">
        <w:t xml:space="preserve">Emily Woodward, Project Scientist, Russell Ranch Sustainable Agriculture Facility, 1315 Plant &amp; Environmental Sciences, One Shields Ave. University of California, Davis, CA 95616. 330-715-2871; eewoodward@ucdavis.edu </w:t>
      </w:r>
    </w:p>
    <w:p w14:paraId="7E747AB2" w14:textId="77777777" w:rsidR="001D1C06" w:rsidRPr="00B9783E" w:rsidRDefault="001D1C06" w:rsidP="001D1C06">
      <w:pPr>
        <w:rPr>
          <w:b/>
        </w:rPr>
      </w:pPr>
      <w:r w:rsidRPr="00B9783E">
        <w:rPr>
          <w:b/>
        </w:rPr>
        <w:t xml:space="preserve">Key Takeaways:  </w:t>
      </w:r>
    </w:p>
    <w:p w14:paraId="5593EAEF" w14:textId="1C9F80B3" w:rsidR="00B9783E" w:rsidRDefault="00B9783E" w:rsidP="00214AF7">
      <w:pPr>
        <w:pStyle w:val="ListParagraph"/>
        <w:numPr>
          <w:ilvl w:val="0"/>
          <w:numId w:val="1"/>
        </w:numPr>
      </w:pPr>
      <w:r>
        <w:t>Greater soil organic matter levels</w:t>
      </w:r>
      <w:r w:rsidR="006518B5">
        <w:t xml:space="preserve"> were associated with</w:t>
      </w:r>
      <w:r>
        <w:t xml:space="preserve"> increased soil </w:t>
      </w:r>
      <w:r w:rsidR="00C205E6">
        <w:t>nitrate levels and tomato leaf nitrogen</w:t>
      </w:r>
      <w:r>
        <w:t xml:space="preserve"> content</w:t>
      </w:r>
      <w:r w:rsidR="00041C29">
        <w:t>.</w:t>
      </w:r>
    </w:p>
    <w:p w14:paraId="26A8BECC" w14:textId="77777777" w:rsidR="00B9783E" w:rsidRDefault="00B9783E" w:rsidP="00214AF7">
      <w:pPr>
        <w:pStyle w:val="ListParagraph"/>
        <w:numPr>
          <w:ilvl w:val="0"/>
          <w:numId w:val="1"/>
        </w:numPr>
      </w:pPr>
      <w:r>
        <w:t>As soil sodium levels increased, tomato nitrogen and potassium uptake decreased</w:t>
      </w:r>
      <w:r w:rsidR="00041C29">
        <w:t>.</w:t>
      </w:r>
    </w:p>
    <w:p w14:paraId="32AC6822" w14:textId="23C9750E" w:rsidR="00041C29" w:rsidRDefault="00B5326C" w:rsidP="00214AF7">
      <w:pPr>
        <w:pStyle w:val="ListParagraph"/>
        <w:numPr>
          <w:ilvl w:val="0"/>
          <w:numId w:val="1"/>
        </w:numPr>
      </w:pPr>
      <w:r>
        <w:t>High</w:t>
      </w:r>
      <w:r w:rsidR="006518B5">
        <w:t>er</w:t>
      </w:r>
      <w:r>
        <w:t xml:space="preserve"> levels of</w:t>
      </w:r>
      <w:r w:rsidR="00041C29">
        <w:t xml:space="preserve"> mycorrhizal fungal vesicle</w:t>
      </w:r>
      <w:r>
        <w:t xml:space="preserve"> structures</w:t>
      </w:r>
      <w:r w:rsidR="00041C29">
        <w:t xml:space="preserve"> (storage structures)</w:t>
      </w:r>
      <w:r w:rsidR="006518B5">
        <w:t xml:space="preserve"> were observed</w:t>
      </w:r>
      <w:r w:rsidR="00041C29">
        <w:t xml:space="preserve"> in roots </w:t>
      </w:r>
      <w:r w:rsidR="006518B5">
        <w:t>of</w:t>
      </w:r>
      <w:r>
        <w:t xml:space="preserve"> tomatoes grown in high-sodium soils</w:t>
      </w:r>
    </w:p>
    <w:p w14:paraId="1B23B9E5" w14:textId="62E89191" w:rsidR="001D1C06" w:rsidRDefault="00B5326C" w:rsidP="00214AF7">
      <w:pPr>
        <w:pStyle w:val="ListParagraph"/>
        <w:numPr>
          <w:ilvl w:val="0"/>
          <w:numId w:val="1"/>
        </w:numPr>
      </w:pPr>
      <w:r>
        <w:t>High</w:t>
      </w:r>
      <w:r w:rsidR="006518B5">
        <w:t>er</w:t>
      </w:r>
      <w:r>
        <w:t xml:space="preserve"> levels of mycorrhizal fungal hyphae were observed in tomatoes with high </w:t>
      </w:r>
      <w:r w:rsidR="006518B5">
        <w:t>plant but not high</w:t>
      </w:r>
      <w:r>
        <w:t xml:space="preserve"> soil </w:t>
      </w:r>
      <w:r w:rsidR="006518B5">
        <w:t>potassium (K)</w:t>
      </w:r>
      <w:r>
        <w:t xml:space="preserve"> levels, </w:t>
      </w:r>
      <w:r w:rsidR="006518B5">
        <w:t xml:space="preserve">suggesting </w:t>
      </w:r>
      <w:r>
        <w:t>that mycorrhizal fungi benefited tomato K uptake.</w:t>
      </w:r>
    </w:p>
    <w:p w14:paraId="449F3BFD" w14:textId="77777777" w:rsidR="00A2754D" w:rsidRDefault="00A2754D" w:rsidP="00A2754D">
      <w:pPr>
        <w:rPr>
          <w:b/>
        </w:rPr>
      </w:pPr>
      <w:r>
        <w:rPr>
          <w:b/>
        </w:rPr>
        <w:t>Goal and Objectives:</w:t>
      </w:r>
    </w:p>
    <w:p w14:paraId="2BCD42C9" w14:textId="77777777" w:rsidR="00A2754D" w:rsidRDefault="00A2754D" w:rsidP="00A2754D">
      <w:r>
        <w:rPr>
          <w:b/>
          <w:i/>
        </w:rPr>
        <w:t xml:space="preserve">Goal:  </w:t>
      </w:r>
      <w:r>
        <w:t>To explore on farm management practices and how these relate to soil health and tomato productivity indicators, including yields. Relationships between soil salinity, mycorrhizal associations, nutrient uptake, and yield will be explored.</w:t>
      </w:r>
    </w:p>
    <w:p w14:paraId="7C87E5BE" w14:textId="77777777" w:rsidR="00A2754D" w:rsidRPr="007312F3" w:rsidRDefault="00A2754D" w:rsidP="00A2754D">
      <w:pPr>
        <w:rPr>
          <w:b/>
          <w:i/>
        </w:rPr>
      </w:pPr>
      <w:r w:rsidRPr="007312F3">
        <w:rPr>
          <w:b/>
          <w:i/>
        </w:rPr>
        <w:t>Objectives:</w:t>
      </w:r>
    </w:p>
    <w:p w14:paraId="0485AA3B" w14:textId="77777777" w:rsidR="00A2754D" w:rsidRPr="00A2754D" w:rsidRDefault="00A2754D" w:rsidP="00A2754D">
      <w:pPr>
        <w:pStyle w:val="ListParagraph"/>
        <w:numPr>
          <w:ilvl w:val="0"/>
          <w:numId w:val="2"/>
        </w:numPr>
        <w:rPr>
          <w:b/>
        </w:rPr>
      </w:pPr>
      <w:r>
        <w:t>Conduct survey of farm management and soil health indicators on processing tomato farms in the San Joaquin Valley.</w:t>
      </w:r>
    </w:p>
    <w:p w14:paraId="16E044D2" w14:textId="77777777" w:rsidR="00A2754D" w:rsidRPr="007312F3" w:rsidRDefault="00A2754D" w:rsidP="00A2754D">
      <w:pPr>
        <w:pStyle w:val="ListParagraph"/>
        <w:numPr>
          <w:ilvl w:val="0"/>
          <w:numId w:val="2"/>
        </w:numPr>
        <w:rPr>
          <w:b/>
        </w:rPr>
      </w:pPr>
      <w:r>
        <w:t>Determine relationships between saline soils and mycorrhizal associations, and between mycorrhizal colonization and crop nutrient uptake and yield. Determine relationships between soil health indicators and crop nutrient uptake and yield.</w:t>
      </w:r>
    </w:p>
    <w:p w14:paraId="34BCE649" w14:textId="77777777" w:rsidR="007312F3" w:rsidRPr="007312F3" w:rsidRDefault="006125E3" w:rsidP="007312F3">
      <w:pPr>
        <w:rPr>
          <w:b/>
        </w:rPr>
      </w:pPr>
      <w:r>
        <w:rPr>
          <w:b/>
        </w:rPr>
        <w:t>Progress</w:t>
      </w:r>
      <w:r w:rsidR="007312F3" w:rsidRPr="007312F3">
        <w:rPr>
          <w:b/>
        </w:rPr>
        <w:t xml:space="preserve"> </w:t>
      </w:r>
    </w:p>
    <w:p w14:paraId="4DDB48A0" w14:textId="047FD259" w:rsidR="001D1C06" w:rsidRDefault="00082698" w:rsidP="001D1C06">
      <w:r>
        <w:t>We visited 8 farms</w:t>
      </w:r>
      <w:r w:rsidR="00753E81">
        <w:t xml:space="preserve"> in the San Joaquin Valley/Kern County</w:t>
      </w:r>
      <w:r>
        <w:t xml:space="preserve"> </w:t>
      </w:r>
      <w:r w:rsidR="00753E81">
        <w:t xml:space="preserve">region </w:t>
      </w:r>
      <w:r>
        <w:t xml:space="preserve">and collected soil and tissue samples from 38 fields in June and July 2019. Soils </w:t>
      </w:r>
      <w:r w:rsidR="00A75A21">
        <w:t xml:space="preserve">were </w:t>
      </w:r>
      <w:r>
        <w:t>analyzed</w:t>
      </w:r>
      <w:r w:rsidR="00A75A21">
        <w:t xml:space="preserve"> in the lab</w:t>
      </w:r>
      <w:r>
        <w:t xml:space="preserve"> for chemical parameters (N, P, K, Ca, Mg, Na, cation exchange capacity, dissolved organic carbon, total dissolved nitrogen, pH), soil organic matter, and biological parameters (microbial biomass carbon and nitrogen, mycorrhizal colonization). </w:t>
      </w:r>
      <w:r w:rsidR="00A75A21">
        <w:t>Tomato leaf samples were analyzed f</w:t>
      </w:r>
      <w:r w:rsidR="002F16AA">
        <w:t>or total N, P,</w:t>
      </w:r>
      <w:r w:rsidR="00A75A21">
        <w:t xml:space="preserve"> K</w:t>
      </w:r>
      <w:r w:rsidR="002F16AA">
        <w:t>, and S</w:t>
      </w:r>
      <w:r w:rsidR="00A75A21">
        <w:t xml:space="preserve"> content. Half of the </w:t>
      </w:r>
      <w:r w:rsidR="00EC46F3">
        <w:t xml:space="preserve">soil </w:t>
      </w:r>
      <w:r w:rsidR="00A75A21">
        <w:t xml:space="preserve">samples have been </w:t>
      </w:r>
      <w:r w:rsidR="00EC46F3">
        <w:t>processed for aggregate stability, a measure of physical soil structure, and the remaining half is anticipated to be completed by mid-October. All soils are</w:t>
      </w:r>
      <w:r w:rsidR="002234A8">
        <w:t xml:space="preserve"> currently</w:t>
      </w:r>
      <w:r w:rsidR="00EC46F3">
        <w:t xml:space="preserve"> </w:t>
      </w:r>
      <w:r w:rsidR="006518B5">
        <w:t>being analyzed for</w:t>
      </w:r>
      <w:r w:rsidR="00EC46F3">
        <w:t xml:space="preserve"> PLFA analysis, a microbial fingerprinting technique that will provide total microbial biomass, and lipid biomarkers for </w:t>
      </w:r>
      <w:r w:rsidR="00EC46F3">
        <w:lastRenderedPageBreak/>
        <w:t>certain classes of microbes such as saprophytic fungi, arbuscular mycorrhizal fungi, and gram +/- bacteria.</w:t>
      </w:r>
      <w:r w:rsidR="002234A8">
        <w:t xml:space="preserve"> When all processing is complete, each soil sample will have been analyzed for 30 different biophysical parameters. Grower interview data is recorded and management history for each field collected. Biophysical soil parameters will be analyzed alongside management history data to elucidate connections and relationships between management and soil health factors. We will be contacting </w:t>
      </w:r>
      <w:r w:rsidR="002F16AA">
        <w:t>our grower collaborators at the end of September/beginning of October to request tomato yield data, to add to the productivity factors data.</w:t>
      </w:r>
      <w:r w:rsidR="009E44AF">
        <w:t xml:space="preserve"> Data analysis will be conducted by examining correlations and constructing bivariate and mixed models to determine which soil factors are related to tomato productivity outcomes.</w:t>
      </w:r>
    </w:p>
    <w:p w14:paraId="707DEE40" w14:textId="77777777" w:rsidR="006125E3" w:rsidRPr="007312F3" w:rsidRDefault="004C74EB" w:rsidP="006125E3">
      <w:pPr>
        <w:rPr>
          <w:b/>
        </w:rPr>
      </w:pPr>
      <w:r>
        <w:rPr>
          <w:noProof/>
        </w:rPr>
        <mc:AlternateContent>
          <mc:Choice Requires="wps">
            <w:drawing>
              <wp:anchor distT="45720" distB="45720" distL="114300" distR="114300" simplePos="0" relativeHeight="251666432" behindDoc="0" locked="0" layoutInCell="1" allowOverlap="1" wp14:anchorId="18DB0E78" wp14:editId="26C6C885">
                <wp:simplePos x="0" y="0"/>
                <wp:positionH relativeFrom="column">
                  <wp:posOffset>39298</wp:posOffset>
                </wp:positionH>
                <wp:positionV relativeFrom="paragraph">
                  <wp:posOffset>364490</wp:posOffset>
                </wp:positionV>
                <wp:extent cx="717550" cy="266065"/>
                <wp:effectExtent l="0" t="0" r="635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065"/>
                        </a:xfrm>
                        <a:prstGeom prst="rect">
                          <a:avLst/>
                        </a:prstGeom>
                        <a:solidFill>
                          <a:srgbClr val="FFFFFF"/>
                        </a:solidFill>
                        <a:ln w="9525">
                          <a:noFill/>
                          <a:miter lim="800000"/>
                          <a:headEnd/>
                          <a:tailEnd/>
                        </a:ln>
                      </wps:spPr>
                      <wps:txbx>
                        <w:txbxContent>
                          <w:p w14:paraId="265ADD05" w14:textId="77777777" w:rsidR="004C74EB" w:rsidRDefault="004C74EB" w:rsidP="004C74EB">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FFEB87" id="_x0000_t202" coordsize="21600,21600" o:spt="202" path="m,l,21600r21600,l21600,xe">
                <v:stroke joinstyle="miter"/>
                <v:path gradientshapeok="t" o:connecttype="rect"/>
              </v:shapetype>
              <v:shape id="Text Box 2" o:spid="_x0000_s1026" type="#_x0000_t202" style="position:absolute;margin-left:3.1pt;margin-top:28.7pt;width:56.5pt;height:2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vvHgIAABoEAAAOAAAAZHJzL2Uyb0RvYy54bWysU1Fv2yAQfp+0/4B4X+xYcd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" stroked="f">
                <v:textbox>
                  <w:txbxContent>
                    <w:p w:rsidR="004C74EB" w:rsidRDefault="004C74EB" w:rsidP="004C74EB">
                      <w:r>
                        <w:t>Figure 1.</w:t>
                      </w:r>
                    </w:p>
                  </w:txbxContent>
                </v:textbox>
                <w10:wrap type="square"/>
              </v:shape>
            </w:pict>
          </mc:Fallback>
        </mc:AlternateContent>
      </w:r>
      <w:r w:rsidR="00B90507">
        <w:rPr>
          <w:noProof/>
        </w:rPr>
        <w:drawing>
          <wp:anchor distT="0" distB="0" distL="114300" distR="114300" simplePos="0" relativeHeight="251659264" behindDoc="1" locked="0" layoutInCell="1" allowOverlap="1" wp14:anchorId="33074F43" wp14:editId="3A7898FA">
            <wp:simplePos x="0" y="0"/>
            <wp:positionH relativeFrom="margin">
              <wp:align>right</wp:align>
            </wp:positionH>
            <wp:positionV relativeFrom="paragraph">
              <wp:posOffset>343535</wp:posOffset>
            </wp:positionV>
            <wp:extent cx="2971800" cy="2317750"/>
            <wp:effectExtent l="0" t="0" r="0" b="6350"/>
            <wp:wrapTight wrapText="bothSides">
              <wp:wrapPolygon edited="0">
                <wp:start x="0" y="0"/>
                <wp:lineTo x="0" y="21482"/>
                <wp:lineTo x="21462" y="21482"/>
                <wp:lineTo x="21462"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B90507">
        <w:rPr>
          <w:noProof/>
        </w:rPr>
        <w:drawing>
          <wp:anchor distT="0" distB="0" distL="114300" distR="114300" simplePos="0" relativeHeight="251658240" behindDoc="1" locked="0" layoutInCell="1" allowOverlap="1" wp14:anchorId="3F918E48" wp14:editId="4E0C235E">
            <wp:simplePos x="0" y="0"/>
            <wp:positionH relativeFrom="margin">
              <wp:align>left</wp:align>
            </wp:positionH>
            <wp:positionV relativeFrom="paragraph">
              <wp:posOffset>343535</wp:posOffset>
            </wp:positionV>
            <wp:extent cx="2971800" cy="2317750"/>
            <wp:effectExtent l="0" t="0" r="0" b="6350"/>
            <wp:wrapTight wrapText="bothSides">
              <wp:wrapPolygon edited="0">
                <wp:start x="0" y="0"/>
                <wp:lineTo x="0" y="21482"/>
                <wp:lineTo x="21462" y="21482"/>
                <wp:lineTo x="2146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6663A0">
        <w:rPr>
          <w:noProof/>
        </w:rPr>
        <mc:AlternateContent>
          <mc:Choice Requires="wps">
            <w:drawing>
              <wp:anchor distT="0" distB="0" distL="114300" distR="114300" simplePos="0" relativeHeight="251660288" behindDoc="0" locked="0" layoutInCell="1" allowOverlap="1" wp14:anchorId="42B5A45D" wp14:editId="4D6F6E1C">
                <wp:simplePos x="0" y="0"/>
                <wp:positionH relativeFrom="column">
                  <wp:posOffset>3911600</wp:posOffset>
                </wp:positionH>
                <wp:positionV relativeFrom="paragraph">
                  <wp:posOffset>1340485</wp:posOffset>
                </wp:positionV>
                <wp:extent cx="1574800" cy="67310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574800" cy="67310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29E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105.55pt" to="6in,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" strokecolor="gray [1629]" strokeweight="1.5pt">
                <v:stroke joinstyle="miter"/>
              </v:line>
            </w:pict>
          </mc:Fallback>
        </mc:AlternateContent>
      </w:r>
      <w:r w:rsidR="006125E3" w:rsidRPr="007312F3">
        <w:rPr>
          <w:b/>
        </w:rPr>
        <w:t>Preliminary Findings</w:t>
      </w:r>
    </w:p>
    <w:p w14:paraId="2A29FC12" w14:textId="77777777" w:rsidR="009E44AF" w:rsidRDefault="009E44AF" w:rsidP="001D1C06"/>
    <w:p w14:paraId="27B80AE5" w14:textId="0E17FDF6" w:rsidR="006663A0" w:rsidRPr="00B9783E" w:rsidRDefault="00753E81" w:rsidP="001D1C06">
      <w:r>
        <w:rPr>
          <w:noProof/>
        </w:rPr>
        <mc:AlternateContent>
          <mc:Choice Requires="wps">
            <w:drawing>
              <wp:anchor distT="45720" distB="45720" distL="114300" distR="114300" simplePos="0" relativeHeight="251664384" behindDoc="0" locked="0" layoutInCell="1" allowOverlap="1" wp14:anchorId="46DFF858" wp14:editId="3CF8910B">
                <wp:simplePos x="0" y="0"/>
                <wp:positionH relativeFrom="column">
                  <wp:posOffset>44450</wp:posOffset>
                </wp:positionH>
                <wp:positionV relativeFrom="paragraph">
                  <wp:posOffset>1169670</wp:posOffset>
                </wp:positionV>
                <wp:extent cx="68580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9250"/>
                        </a:xfrm>
                        <a:prstGeom prst="rect">
                          <a:avLst/>
                        </a:prstGeom>
                        <a:solidFill>
                          <a:srgbClr val="FFFFFF"/>
                        </a:solidFill>
                        <a:ln w="9525">
                          <a:noFill/>
                          <a:miter lim="800000"/>
                          <a:headEnd/>
                          <a:tailEnd/>
                        </a:ln>
                      </wps:spPr>
                      <wps:txbx>
                        <w:txbxContent>
                          <w:p w14:paraId="0439D32A" w14:textId="77777777" w:rsidR="004C74EB" w:rsidRDefault="004C74EB">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F858" id="_x0000_t202" coordsize="21600,21600" o:spt="202" path="m,l,21600r21600,l21600,xe">
                <v:stroke joinstyle="miter"/>
                <v:path gradientshapeok="t" o:connecttype="rect"/>
              </v:shapetype>
              <v:shape id="_x0000_s1027" type="#_x0000_t202" style="position:absolute;margin-left:3.5pt;margin-top:92.1pt;width:54pt;height: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" stroked="f">
                <v:textbox>
                  <w:txbxContent>
                    <w:p w14:paraId="0439D32A" w14:textId="77777777" w:rsidR="004C74EB" w:rsidRDefault="004C74EB">
                      <w:r>
                        <w:t>Figure 2.</w:t>
                      </w:r>
                    </w:p>
                  </w:txbxContent>
                </v:textbox>
                <w10:wrap type="square"/>
              </v:shape>
            </w:pict>
          </mc:Fallback>
        </mc:AlternateContent>
      </w:r>
      <w:r>
        <w:rPr>
          <w:noProof/>
        </w:rPr>
        <w:drawing>
          <wp:anchor distT="0" distB="0" distL="114300" distR="114300" simplePos="0" relativeHeight="251662336" behindDoc="1" locked="0" layoutInCell="1" allowOverlap="1" wp14:anchorId="50D8A18C" wp14:editId="7539128D">
            <wp:simplePos x="0" y="0"/>
            <wp:positionH relativeFrom="margin">
              <wp:posOffset>2974340</wp:posOffset>
            </wp:positionH>
            <wp:positionV relativeFrom="paragraph">
              <wp:posOffset>1148715</wp:posOffset>
            </wp:positionV>
            <wp:extent cx="2971800" cy="2322195"/>
            <wp:effectExtent l="0" t="0" r="0" b="1905"/>
            <wp:wrapTight wrapText="bothSides">
              <wp:wrapPolygon edited="0">
                <wp:start x="0" y="0"/>
                <wp:lineTo x="0" y="21441"/>
                <wp:lineTo x="21462" y="21441"/>
                <wp:lineTo x="2146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AF3FC55" wp14:editId="62B17AF6">
            <wp:simplePos x="0" y="0"/>
            <wp:positionH relativeFrom="margin">
              <wp:posOffset>0</wp:posOffset>
            </wp:positionH>
            <wp:positionV relativeFrom="paragraph">
              <wp:posOffset>1153795</wp:posOffset>
            </wp:positionV>
            <wp:extent cx="2971800" cy="2322576"/>
            <wp:effectExtent l="0" t="0" r="0" b="1905"/>
            <wp:wrapTight wrapText="bothSides">
              <wp:wrapPolygon edited="0">
                <wp:start x="0" y="0"/>
                <wp:lineTo x="0" y="21441"/>
                <wp:lineTo x="21462" y="21441"/>
                <wp:lineTo x="2146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t xml:space="preserve">There was a positive relationship between soil organic matter content and tomato tissue and soil nitrogen concentrations. </w:t>
      </w:r>
      <w:r w:rsidR="004C74EB">
        <w:t>Every one unit</w:t>
      </w:r>
      <w:r w:rsidR="00071DFD">
        <w:t xml:space="preserve"> increase in soil organic matter increased soil nitrate by 15 ppm (e.g., increasing soil organic matter by 0.1% increases soil nitrate by 1.5 ppm). Soil organic matter increased tomato leaf nitrogen content by 0.5 percent for every one unit increase</w:t>
      </w:r>
      <w:r w:rsidR="00047CBB">
        <w:t xml:space="preserve"> in soil organic matter (Figure 1).</w:t>
      </w:r>
    </w:p>
    <w:p w14:paraId="5A86AA30" w14:textId="77777777" w:rsidR="00047CBB" w:rsidRDefault="00047CBB" w:rsidP="001D1C06"/>
    <w:p w14:paraId="7B3BD9B6" w14:textId="77777777" w:rsidR="001D1C06" w:rsidRDefault="00500D58" w:rsidP="001D1C06">
      <w:r>
        <w:rPr>
          <w:noProof/>
        </w:rPr>
        <w:drawing>
          <wp:anchor distT="0" distB="0" distL="114300" distR="114300" simplePos="0" relativeHeight="251667456" behindDoc="1" locked="0" layoutInCell="1" allowOverlap="1" wp14:anchorId="036FD69E" wp14:editId="74892192">
            <wp:simplePos x="0" y="0"/>
            <wp:positionH relativeFrom="column">
              <wp:posOffset>3124835</wp:posOffset>
            </wp:positionH>
            <wp:positionV relativeFrom="paragraph">
              <wp:posOffset>5715</wp:posOffset>
            </wp:positionV>
            <wp:extent cx="3066415" cy="2326005"/>
            <wp:effectExtent l="0" t="0" r="635" b="17145"/>
            <wp:wrapTight wrapText="bothSides">
              <wp:wrapPolygon edited="0">
                <wp:start x="0" y="0"/>
                <wp:lineTo x="0" y="21582"/>
                <wp:lineTo x="21470" y="21582"/>
                <wp:lineTo x="2147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27970">
        <w:rPr>
          <w:noProof/>
        </w:rPr>
        <mc:AlternateContent>
          <mc:Choice Requires="wps">
            <w:drawing>
              <wp:anchor distT="45720" distB="45720" distL="114300" distR="114300" simplePos="0" relativeHeight="251669504" behindDoc="0" locked="0" layoutInCell="1" allowOverlap="1" wp14:anchorId="4BD9C464" wp14:editId="7C500EF6">
                <wp:simplePos x="0" y="0"/>
                <wp:positionH relativeFrom="column">
                  <wp:posOffset>3169357</wp:posOffset>
                </wp:positionH>
                <wp:positionV relativeFrom="paragraph">
                  <wp:posOffset>22860</wp:posOffset>
                </wp:positionV>
                <wp:extent cx="717550" cy="27178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71780"/>
                        </a:xfrm>
                        <a:prstGeom prst="rect">
                          <a:avLst/>
                        </a:prstGeom>
                        <a:solidFill>
                          <a:srgbClr val="FFFFFF"/>
                        </a:solidFill>
                        <a:ln w="9525">
                          <a:noFill/>
                          <a:miter lim="800000"/>
                          <a:headEnd/>
                          <a:tailEnd/>
                        </a:ln>
                      </wps:spPr>
                      <wps:txbx>
                        <w:txbxContent>
                          <w:p w14:paraId="2F504D3B" w14:textId="77777777" w:rsidR="00827970" w:rsidRDefault="00827970">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249.55pt;margin-top:1.8pt;width:56.5pt;height:2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" stroked="f">
                <v:textbox>
                  <w:txbxContent>
                    <w:p w:rsidR="00827970" w:rsidRDefault="00827970">
                      <w:r>
                        <w:t>Figure 3.</w:t>
                      </w:r>
                    </w:p>
                  </w:txbxContent>
                </v:textbox>
                <w10:wrap type="square"/>
              </v:shape>
            </w:pict>
          </mc:Fallback>
        </mc:AlternateContent>
      </w:r>
      <w:r w:rsidR="005C5E1A">
        <w:t xml:space="preserve">Soil sodium levels were variable and very high in some areas of the San Joaquin Valley. Soil sodium negatively affected tomato nitrogen and potassium uptake at soil sodium levels above 200 ppm. Every 100 </w:t>
      </w:r>
      <w:r w:rsidR="004C74EB">
        <w:t>ppm increase in soil sodium decreased tomato leaf nitrogen by 0.2 units and decreased toma</w:t>
      </w:r>
      <w:r w:rsidR="00836A2B">
        <w:t xml:space="preserve">to leaf potassium by 0.1 units (Figure 2). </w:t>
      </w:r>
      <w:r w:rsidR="008322FF">
        <w:t>Arbuscular mycorrhizal fungi vesicle structures observed in tomato roots increased with increasing soil sodium levels, suggesting that colonization of mycorrhizae</w:t>
      </w:r>
      <w:r w:rsidR="008415AE">
        <w:t xml:space="preserve"> in tomato roots</w:t>
      </w:r>
      <w:r w:rsidR="008322FF">
        <w:t xml:space="preserve"> is an adaptation mechanism </w:t>
      </w:r>
      <w:r w:rsidR="008415AE">
        <w:t>to high salt levels. No relationship between mycorrhizal colonization and tomato N and P leaf contents was observed, but there was a relationship between mycorrhizal hyphae in roots and tomato leaf K content (Figure 3).</w:t>
      </w:r>
    </w:p>
    <w:p w14:paraId="421C18FF" w14:textId="77777777" w:rsidR="00352F96" w:rsidRDefault="00352F96" w:rsidP="001D1C06">
      <w:pPr>
        <w:rPr>
          <w:b/>
        </w:rPr>
      </w:pPr>
      <w:r>
        <w:rPr>
          <w:b/>
        </w:rPr>
        <w:t>What’s Next for the Project</w:t>
      </w:r>
    </w:p>
    <w:p w14:paraId="4AF7CE78" w14:textId="24266616" w:rsidR="00352F96" w:rsidRDefault="00352F96" w:rsidP="001D1C06">
      <w:r>
        <w:t>This project motivates many questions about what fundamental mechanisms govern relationships between soil biological and chemical factors, and tomato productivity. Data from this year’s survey work will be combined with last year’s data collected on tomato growers’ fields to create a data set with soil biochemical parameters and tomato productivity across over 70 fields in California’s Central Valley. All soil and plant data will be combined with crop management data, including rotational crops, frequency of tomato cropping, compost use, cover crops use, and tillage intensity to evaluate whether trends exist between management, soil health, a</w:t>
      </w:r>
      <w:r w:rsidR="002326F8">
        <w:t xml:space="preserve">nd tomato productivity factors, taking into account differences among soil types. Furthermore, the amount of data from a large geographical area across the Central Valley will </w:t>
      </w:r>
      <w:r w:rsidR="006518B5">
        <w:t>provide a base for the</w:t>
      </w:r>
      <w:r w:rsidR="002326F8">
        <w:t xml:space="preserve"> develop</w:t>
      </w:r>
      <w:r w:rsidR="006518B5">
        <w:t>ment of</w:t>
      </w:r>
      <w:r w:rsidR="002326F8">
        <w:t xml:space="preserve"> regionally appropriate and attainable targets for soil health indicators like soil organic matter.</w:t>
      </w:r>
    </w:p>
    <w:p w14:paraId="1FB8B7A6" w14:textId="77777777" w:rsidR="00500D58" w:rsidRDefault="00510C86" w:rsidP="001D1C06">
      <w:pPr>
        <w:rPr>
          <w:b/>
        </w:rPr>
      </w:pPr>
      <w:r>
        <w:rPr>
          <w:b/>
        </w:rPr>
        <w:t>This Project a</w:t>
      </w:r>
      <w:r w:rsidR="00500D58">
        <w:rPr>
          <w:b/>
        </w:rPr>
        <w:t xml:space="preserve">s Leverage </w:t>
      </w:r>
      <w:r>
        <w:rPr>
          <w:b/>
        </w:rPr>
        <w:t>f</w:t>
      </w:r>
      <w:r w:rsidR="00500D58">
        <w:rPr>
          <w:b/>
        </w:rPr>
        <w:t>or Other Dollars</w:t>
      </w:r>
    </w:p>
    <w:p w14:paraId="0C6A1DEB" w14:textId="70271196" w:rsidR="00500D58" w:rsidRPr="001E13E4" w:rsidRDefault="001E13E4" w:rsidP="001D1C06">
      <w:r>
        <w:t xml:space="preserve">Experiences and preliminary data obtained from the work in this project </w:t>
      </w:r>
      <w:r w:rsidR="006518B5">
        <w:t xml:space="preserve">were </w:t>
      </w:r>
      <w:r>
        <w:t>used to develop and submit a $10 million proposal to the USDA’s Sustainable Agricultural Systems grant program</w:t>
      </w:r>
      <w:r w:rsidR="00BB4211">
        <w:t>, in collaboration with other soil health researchers in the Midwest,</w:t>
      </w:r>
      <w:r>
        <w:t xml:space="preserve"> to develop regionally based soil health indicators for vegetable crop producers and to use these benchmarks to develop tools for growers to use to track soil health on their farms and its impact on crop productivity. </w:t>
      </w:r>
      <w:r w:rsidR="00BB4211">
        <w:t>While the first version of the proposal was unsuccessful, the ideas and collaborations developed in the first round of proposal writing will be used to further develop and submit proposals to other large national grant programs to promote 1) collaborative research projects with California tomato growers, 2) regionally appropriate benchmarks for soil health improvement, and 3) discovery of links between soil health indicators, soil functions, and crop productivity, to determine which soil health management practices are worth investing in on California tomato farms.</w:t>
      </w:r>
    </w:p>
    <w:p w14:paraId="54CB5DD1" w14:textId="25DA9F28" w:rsidR="001D1C06" w:rsidRPr="00B9783E" w:rsidRDefault="001D1C06" w:rsidP="001D1C06">
      <w:bookmarkStart w:id="0" w:name="_GoBack"/>
      <w:bookmarkEnd w:id="0"/>
    </w:p>
    <w:sectPr w:rsidR="001D1C06" w:rsidRPr="00B9783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F392" w16cid:durableId="21294F5B"/>
  <w16cid:commentId w16cid:paraId="7F50499F" w16cid:durableId="212950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F2"/>
    <w:multiLevelType w:val="hybridMultilevel"/>
    <w:tmpl w:val="B474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2E6F"/>
    <w:multiLevelType w:val="hybridMultilevel"/>
    <w:tmpl w:val="13B8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6"/>
    <w:rsid w:val="00041C29"/>
    <w:rsid w:val="00042230"/>
    <w:rsid w:val="00047CBB"/>
    <w:rsid w:val="00071DFD"/>
    <w:rsid w:val="00082698"/>
    <w:rsid w:val="001D1C06"/>
    <w:rsid w:val="001E13E4"/>
    <w:rsid w:val="002234A8"/>
    <w:rsid w:val="002326F8"/>
    <w:rsid w:val="002F16AA"/>
    <w:rsid w:val="00352F96"/>
    <w:rsid w:val="003B0516"/>
    <w:rsid w:val="004C74EB"/>
    <w:rsid w:val="00500D58"/>
    <w:rsid w:val="00510C86"/>
    <w:rsid w:val="00584A33"/>
    <w:rsid w:val="005C5E1A"/>
    <w:rsid w:val="006024BB"/>
    <w:rsid w:val="006125E3"/>
    <w:rsid w:val="006518B5"/>
    <w:rsid w:val="00662551"/>
    <w:rsid w:val="006663A0"/>
    <w:rsid w:val="00677A4A"/>
    <w:rsid w:val="007312F3"/>
    <w:rsid w:val="00753E81"/>
    <w:rsid w:val="007D11C7"/>
    <w:rsid w:val="00827970"/>
    <w:rsid w:val="008322FF"/>
    <w:rsid w:val="00836A2B"/>
    <w:rsid w:val="008415AE"/>
    <w:rsid w:val="009E44AF"/>
    <w:rsid w:val="00A2754D"/>
    <w:rsid w:val="00A75A21"/>
    <w:rsid w:val="00B5326C"/>
    <w:rsid w:val="00B725B1"/>
    <w:rsid w:val="00B90507"/>
    <w:rsid w:val="00B9783E"/>
    <w:rsid w:val="00BB36D2"/>
    <w:rsid w:val="00BB4211"/>
    <w:rsid w:val="00C205E6"/>
    <w:rsid w:val="00EC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69FB"/>
  <w15:chartTrackingRefBased/>
  <w15:docId w15:val="{BA349481-8AC3-4C9E-9E0D-93FEA4A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C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1C06"/>
    <w:rPr>
      <w:color w:val="0563C1" w:themeColor="hyperlink"/>
      <w:u w:val="single"/>
    </w:rPr>
  </w:style>
  <w:style w:type="paragraph" w:styleId="ListParagraph">
    <w:name w:val="List Paragraph"/>
    <w:basedOn w:val="Normal"/>
    <w:uiPriority w:val="34"/>
    <w:qFormat/>
    <w:rsid w:val="00B9783E"/>
    <w:pPr>
      <w:ind w:left="720"/>
      <w:contextualSpacing/>
    </w:pPr>
  </w:style>
  <w:style w:type="character" w:styleId="CommentReference">
    <w:name w:val="annotation reference"/>
    <w:basedOn w:val="DefaultParagraphFont"/>
    <w:uiPriority w:val="99"/>
    <w:semiHidden/>
    <w:unhideWhenUsed/>
    <w:rsid w:val="006518B5"/>
    <w:rPr>
      <w:sz w:val="16"/>
      <w:szCs w:val="16"/>
    </w:rPr>
  </w:style>
  <w:style w:type="paragraph" w:styleId="CommentText">
    <w:name w:val="annotation text"/>
    <w:basedOn w:val="Normal"/>
    <w:link w:val="CommentTextChar"/>
    <w:uiPriority w:val="99"/>
    <w:semiHidden/>
    <w:unhideWhenUsed/>
    <w:rsid w:val="006518B5"/>
    <w:pPr>
      <w:spacing w:line="240" w:lineRule="auto"/>
    </w:pPr>
    <w:rPr>
      <w:sz w:val="20"/>
      <w:szCs w:val="20"/>
    </w:rPr>
  </w:style>
  <w:style w:type="character" w:customStyle="1" w:styleId="CommentTextChar">
    <w:name w:val="Comment Text Char"/>
    <w:basedOn w:val="DefaultParagraphFont"/>
    <w:link w:val="CommentText"/>
    <w:uiPriority w:val="99"/>
    <w:semiHidden/>
    <w:rsid w:val="006518B5"/>
    <w:rPr>
      <w:sz w:val="20"/>
      <w:szCs w:val="20"/>
    </w:rPr>
  </w:style>
  <w:style w:type="paragraph" w:styleId="CommentSubject">
    <w:name w:val="annotation subject"/>
    <w:basedOn w:val="CommentText"/>
    <w:next w:val="CommentText"/>
    <w:link w:val="CommentSubjectChar"/>
    <w:uiPriority w:val="99"/>
    <w:semiHidden/>
    <w:unhideWhenUsed/>
    <w:rsid w:val="006518B5"/>
    <w:rPr>
      <w:b/>
      <w:bCs/>
    </w:rPr>
  </w:style>
  <w:style w:type="character" w:customStyle="1" w:styleId="CommentSubjectChar">
    <w:name w:val="Comment Subject Char"/>
    <w:basedOn w:val="CommentTextChar"/>
    <w:link w:val="CommentSubject"/>
    <w:uiPriority w:val="99"/>
    <w:semiHidden/>
    <w:rsid w:val="006518B5"/>
    <w:rPr>
      <w:b/>
      <w:bCs/>
      <w:sz w:val="20"/>
      <w:szCs w:val="20"/>
    </w:rPr>
  </w:style>
  <w:style w:type="paragraph" w:styleId="BalloonText">
    <w:name w:val="Balloon Text"/>
    <w:basedOn w:val="Normal"/>
    <w:link w:val="BalloonTextChar"/>
    <w:uiPriority w:val="99"/>
    <w:semiHidden/>
    <w:unhideWhenUsed/>
    <w:rsid w:val="006518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8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SOM Effects on Soil Nitrate</a:t>
            </a:r>
          </a:p>
        </c:rich>
      </c:tx>
      <c:layout>
        <c:manualLayout>
          <c:xMode val="edge"/>
          <c:yMode val="edge"/>
          <c:x val="0.28926374587791909"/>
          <c:y val="3.115125618126456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560603001547885"/>
          <c:y val="0.16245370370370371"/>
          <c:w val="0.74177636449289996"/>
          <c:h val="0.62443818271980278"/>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xVal>
            <c:numRef>
              <c:f>prelim_plots!$AD$2:$AD$25</c:f>
              <c:numCache>
                <c:formatCode>?0.00</c:formatCode>
                <c:ptCount val="24"/>
                <c:pt idx="0">
                  <c:v>2.61</c:v>
                </c:pt>
                <c:pt idx="1">
                  <c:v>1.96</c:v>
                </c:pt>
                <c:pt idx="2">
                  <c:v>2.63</c:v>
                </c:pt>
                <c:pt idx="3" formatCode="General">
                  <c:v>2.21</c:v>
                </c:pt>
                <c:pt idx="4">
                  <c:v>1.67</c:v>
                </c:pt>
                <c:pt idx="5">
                  <c:v>0.96</c:v>
                </c:pt>
                <c:pt idx="6" formatCode="General">
                  <c:v>0.96</c:v>
                </c:pt>
                <c:pt idx="7">
                  <c:v>2.5099999999999998</c:v>
                </c:pt>
                <c:pt idx="8">
                  <c:v>0.75</c:v>
                </c:pt>
                <c:pt idx="9">
                  <c:v>2.86</c:v>
                </c:pt>
                <c:pt idx="10">
                  <c:v>2.16</c:v>
                </c:pt>
                <c:pt idx="11">
                  <c:v>1.73</c:v>
                </c:pt>
                <c:pt idx="12">
                  <c:v>2.2799999999999998</c:v>
                </c:pt>
                <c:pt idx="13" formatCode="General">
                  <c:v>2.3600000000000003</c:v>
                </c:pt>
                <c:pt idx="14">
                  <c:v>2.2999999999999998</c:v>
                </c:pt>
                <c:pt idx="15">
                  <c:v>2.25</c:v>
                </c:pt>
                <c:pt idx="16">
                  <c:v>1.99</c:v>
                </c:pt>
                <c:pt idx="17" formatCode="General">
                  <c:v>2.81</c:v>
                </c:pt>
                <c:pt idx="18">
                  <c:v>1.69</c:v>
                </c:pt>
                <c:pt idx="19">
                  <c:v>2.25</c:v>
                </c:pt>
                <c:pt idx="20">
                  <c:v>3.04</c:v>
                </c:pt>
                <c:pt idx="21">
                  <c:v>2.64</c:v>
                </c:pt>
                <c:pt idx="22">
                  <c:v>2.2599999999999998</c:v>
                </c:pt>
                <c:pt idx="23">
                  <c:v>1.63</c:v>
                </c:pt>
              </c:numCache>
            </c:numRef>
          </c:xVal>
          <c:yVal>
            <c:numRef>
              <c:f>prelim_plots!$V$2:$V$25</c:f>
              <c:numCache>
                <c:formatCode>?0.00</c:formatCode>
                <c:ptCount val="24"/>
                <c:pt idx="0">
                  <c:v>42.65</c:v>
                </c:pt>
                <c:pt idx="1">
                  <c:v>50.39</c:v>
                </c:pt>
                <c:pt idx="2">
                  <c:v>45.55</c:v>
                </c:pt>
                <c:pt idx="3" formatCode="General">
                  <c:v>55.59</c:v>
                </c:pt>
                <c:pt idx="4">
                  <c:v>29.13</c:v>
                </c:pt>
                <c:pt idx="5">
                  <c:v>15.03</c:v>
                </c:pt>
                <c:pt idx="6" formatCode="General">
                  <c:v>23.204999999999998</c:v>
                </c:pt>
                <c:pt idx="7">
                  <c:v>11.43</c:v>
                </c:pt>
                <c:pt idx="8">
                  <c:v>24.83</c:v>
                </c:pt>
                <c:pt idx="9">
                  <c:v>13.98</c:v>
                </c:pt>
                <c:pt idx="10">
                  <c:v>28.45</c:v>
                </c:pt>
                <c:pt idx="11">
                  <c:v>15.45</c:v>
                </c:pt>
                <c:pt idx="12">
                  <c:v>39.35</c:v>
                </c:pt>
                <c:pt idx="13" formatCode="General">
                  <c:v>65.09</c:v>
                </c:pt>
                <c:pt idx="14">
                  <c:v>14.13</c:v>
                </c:pt>
                <c:pt idx="15">
                  <c:v>34.78</c:v>
                </c:pt>
                <c:pt idx="16">
                  <c:v>82.99</c:v>
                </c:pt>
                <c:pt idx="17" formatCode="General">
                  <c:v>17.399999999999999</c:v>
                </c:pt>
                <c:pt idx="18">
                  <c:v>14.88</c:v>
                </c:pt>
                <c:pt idx="19">
                  <c:v>16.14</c:v>
                </c:pt>
                <c:pt idx="20">
                  <c:v>65.39</c:v>
                </c:pt>
                <c:pt idx="21">
                  <c:v>34.83</c:v>
                </c:pt>
                <c:pt idx="22">
                  <c:v>42</c:v>
                </c:pt>
                <c:pt idx="23">
                  <c:v>85.19</c:v>
                </c:pt>
              </c:numCache>
            </c:numRef>
          </c:yVal>
          <c:smooth val="0"/>
          <c:extLst>
            <c:ext xmlns:c16="http://schemas.microsoft.com/office/drawing/2014/chart" uri="{C3380CC4-5D6E-409C-BE32-E72D297353CC}">
              <c16:uniqueId val="{00000000-1BAD-4297-905B-C8974E465170}"/>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prelim_plots!$AD$26:$AD$36</c:f>
              <c:numCache>
                <c:formatCode>?0.00</c:formatCode>
                <c:ptCount val="11"/>
                <c:pt idx="0">
                  <c:v>1.68</c:v>
                </c:pt>
                <c:pt idx="1">
                  <c:v>1.78</c:v>
                </c:pt>
                <c:pt idx="2">
                  <c:v>1.35</c:v>
                </c:pt>
                <c:pt idx="3" formatCode="General">
                  <c:v>1.585</c:v>
                </c:pt>
                <c:pt idx="4">
                  <c:v>1.34</c:v>
                </c:pt>
                <c:pt idx="5">
                  <c:v>0.98</c:v>
                </c:pt>
                <c:pt idx="6">
                  <c:v>1.0900000000000001</c:v>
                </c:pt>
                <c:pt idx="7">
                  <c:v>1.49</c:v>
                </c:pt>
                <c:pt idx="8">
                  <c:v>1.31</c:v>
                </c:pt>
                <c:pt idx="9">
                  <c:v>1.53</c:v>
                </c:pt>
                <c:pt idx="10">
                  <c:v>1.57</c:v>
                </c:pt>
              </c:numCache>
            </c:numRef>
          </c:xVal>
          <c:yVal>
            <c:numRef>
              <c:f>prelim_plots!$V$26:$V$36</c:f>
              <c:numCache>
                <c:formatCode>?0.00</c:formatCode>
                <c:ptCount val="11"/>
                <c:pt idx="0">
                  <c:v>6.4</c:v>
                </c:pt>
                <c:pt idx="1">
                  <c:v>4.4800000000000004</c:v>
                </c:pt>
                <c:pt idx="2">
                  <c:v>9.6</c:v>
                </c:pt>
                <c:pt idx="3" formatCode="General">
                  <c:v>4.17</c:v>
                </c:pt>
                <c:pt idx="4">
                  <c:v>6.95</c:v>
                </c:pt>
                <c:pt idx="5">
                  <c:v>5.65</c:v>
                </c:pt>
                <c:pt idx="6">
                  <c:v>6.1</c:v>
                </c:pt>
                <c:pt idx="7">
                  <c:v>9.4499999999999993</c:v>
                </c:pt>
                <c:pt idx="8">
                  <c:v>5.85</c:v>
                </c:pt>
                <c:pt idx="9">
                  <c:v>14.55</c:v>
                </c:pt>
                <c:pt idx="10">
                  <c:v>19.25</c:v>
                </c:pt>
              </c:numCache>
            </c:numRef>
          </c:yVal>
          <c:smooth val="0"/>
          <c:extLst>
            <c:ext xmlns:c16="http://schemas.microsoft.com/office/drawing/2014/chart" uri="{C3380CC4-5D6E-409C-BE32-E72D297353CC}">
              <c16:uniqueId val="{00000001-1BAD-4297-905B-C8974E465170}"/>
            </c:ext>
          </c:extLst>
        </c:ser>
        <c:dLbls>
          <c:showLegendKey val="0"/>
          <c:showVal val="0"/>
          <c:showCatName val="0"/>
          <c:showSerName val="0"/>
          <c:showPercent val="0"/>
          <c:showBubbleSize val="0"/>
        </c:dLbls>
        <c:axId val="1878665472"/>
        <c:axId val="1878665056"/>
      </c:scatterChart>
      <c:valAx>
        <c:axId val="187866547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SOM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78665056"/>
        <c:crosses val="autoZero"/>
        <c:crossBetween val="midCat"/>
      </c:valAx>
      <c:valAx>
        <c:axId val="1878665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Nitrate (ppm)</a:t>
                </a:r>
              </a:p>
            </c:rich>
          </c:tx>
          <c:layout>
            <c:manualLayout>
              <c:xMode val="edge"/>
              <c:yMode val="edge"/>
              <c:x val="1.0683760683760685E-3"/>
              <c:y val="0.2511991769127740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78665472"/>
        <c:crosses val="autoZero"/>
        <c:crossBetween val="midCat"/>
      </c:valAx>
      <c:spPr>
        <a:noFill/>
        <a:ln w="25400">
          <a:noFill/>
        </a:ln>
        <a:effectLst/>
      </c:spPr>
    </c:plotArea>
    <c:legend>
      <c:legendPos val="r"/>
      <c:layout>
        <c:manualLayout>
          <c:xMode val="edge"/>
          <c:yMode val="edge"/>
          <c:x val="0.74723399959620418"/>
          <c:y val="0.1640334981670552"/>
          <c:w val="0.23994548758328285"/>
          <c:h val="0.1682833348009250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SOM Effects on Leaf N</a:t>
            </a:r>
          </a:p>
        </c:rich>
      </c:tx>
      <c:layout>
        <c:manualLayout>
          <c:xMode val="edge"/>
          <c:yMode val="edge"/>
          <c:x val="0.35959749815177722"/>
          <c:y val="4.166666666666666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6134766807995155"/>
          <c:y val="0.14856481481481484"/>
          <c:w val="0.76603472642842718"/>
          <c:h val="0.63466743862899488"/>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cmpd="sng">
                <a:solidFill>
                  <a:schemeClr val="tx1">
                    <a:lumMod val="50000"/>
                    <a:lumOff val="50000"/>
                  </a:schemeClr>
                </a:solidFill>
                <a:prstDash val="solid"/>
              </a:ln>
              <a:effectLst/>
            </c:spPr>
            <c:trendlineType val="linear"/>
            <c:dispRSqr val="0"/>
            <c:dispEq val="0"/>
          </c:trendline>
          <c:xVal>
            <c:numRef>
              <c:f>prelim_plots!$AD$2:$AD$25</c:f>
              <c:numCache>
                <c:formatCode>?0.00</c:formatCode>
                <c:ptCount val="24"/>
                <c:pt idx="0">
                  <c:v>2.61</c:v>
                </c:pt>
                <c:pt idx="1">
                  <c:v>1.96</c:v>
                </c:pt>
                <c:pt idx="2">
                  <c:v>2.63</c:v>
                </c:pt>
                <c:pt idx="3" formatCode="General">
                  <c:v>2.21</c:v>
                </c:pt>
                <c:pt idx="4">
                  <c:v>1.67</c:v>
                </c:pt>
                <c:pt idx="5">
                  <c:v>0.96</c:v>
                </c:pt>
                <c:pt idx="6" formatCode="General">
                  <c:v>0.96</c:v>
                </c:pt>
                <c:pt idx="7">
                  <c:v>2.5099999999999998</c:v>
                </c:pt>
                <c:pt idx="8">
                  <c:v>0.75</c:v>
                </c:pt>
                <c:pt idx="9">
                  <c:v>2.86</c:v>
                </c:pt>
                <c:pt idx="10">
                  <c:v>2.16</c:v>
                </c:pt>
                <c:pt idx="11">
                  <c:v>1.73</c:v>
                </c:pt>
                <c:pt idx="12">
                  <c:v>2.2799999999999998</c:v>
                </c:pt>
                <c:pt idx="13" formatCode="General">
                  <c:v>2.3600000000000003</c:v>
                </c:pt>
                <c:pt idx="14">
                  <c:v>2.2999999999999998</c:v>
                </c:pt>
                <c:pt idx="15">
                  <c:v>2.25</c:v>
                </c:pt>
                <c:pt idx="16">
                  <c:v>1.99</c:v>
                </c:pt>
                <c:pt idx="17" formatCode="General">
                  <c:v>2.81</c:v>
                </c:pt>
                <c:pt idx="18">
                  <c:v>1.69</c:v>
                </c:pt>
                <c:pt idx="19">
                  <c:v>2.25</c:v>
                </c:pt>
                <c:pt idx="20">
                  <c:v>3.04</c:v>
                </c:pt>
                <c:pt idx="21">
                  <c:v>2.64</c:v>
                </c:pt>
                <c:pt idx="22">
                  <c:v>2.2599999999999998</c:v>
                </c:pt>
                <c:pt idx="23">
                  <c:v>1.63</c:v>
                </c:pt>
              </c:numCache>
            </c:numRef>
          </c:xVal>
          <c:yVal>
            <c:numRef>
              <c:f>prelim_plots!$AA$2:$AA$25</c:f>
              <c:numCache>
                <c:formatCode>General</c:formatCode>
                <c:ptCount val="24"/>
                <c:pt idx="0">
                  <c:v>4.22</c:v>
                </c:pt>
                <c:pt idx="1">
                  <c:v>5.3</c:v>
                </c:pt>
                <c:pt idx="2">
                  <c:v>5.68</c:v>
                </c:pt>
                <c:pt idx="3">
                  <c:v>5.77</c:v>
                </c:pt>
                <c:pt idx="4">
                  <c:v>3.13</c:v>
                </c:pt>
                <c:pt idx="5">
                  <c:v>3.17</c:v>
                </c:pt>
                <c:pt idx="6">
                  <c:v>3.45</c:v>
                </c:pt>
                <c:pt idx="7">
                  <c:v>3.57</c:v>
                </c:pt>
                <c:pt idx="8">
                  <c:v>3.78</c:v>
                </c:pt>
                <c:pt idx="9">
                  <c:v>3.83</c:v>
                </c:pt>
                <c:pt idx="10">
                  <c:v>3.85</c:v>
                </c:pt>
                <c:pt idx="11">
                  <c:v>3.88</c:v>
                </c:pt>
                <c:pt idx="12">
                  <c:v>3.96</c:v>
                </c:pt>
                <c:pt idx="13">
                  <c:v>4.38</c:v>
                </c:pt>
                <c:pt idx="14">
                  <c:v>4.4000000000000004</c:v>
                </c:pt>
                <c:pt idx="15">
                  <c:v>4.58</c:v>
                </c:pt>
                <c:pt idx="16">
                  <c:v>4.6399999999999997</c:v>
                </c:pt>
                <c:pt idx="17">
                  <c:v>4.67</c:v>
                </c:pt>
                <c:pt idx="18">
                  <c:v>4.6900000000000004</c:v>
                </c:pt>
                <c:pt idx="19">
                  <c:v>4.71</c:v>
                </c:pt>
                <c:pt idx="20">
                  <c:v>4.78</c:v>
                </c:pt>
                <c:pt idx="21">
                  <c:v>4.8</c:v>
                </c:pt>
                <c:pt idx="22">
                  <c:v>4.9000000000000004</c:v>
                </c:pt>
                <c:pt idx="23">
                  <c:v>5.4</c:v>
                </c:pt>
              </c:numCache>
            </c:numRef>
          </c:yVal>
          <c:smooth val="0"/>
          <c:extLst>
            <c:ext xmlns:c16="http://schemas.microsoft.com/office/drawing/2014/chart" uri="{C3380CC4-5D6E-409C-BE32-E72D297353CC}">
              <c16:uniqueId val="{00000000-C8F9-4CDE-B6B9-9BD8B107C115}"/>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prelim_plots!$AD$26:$AD$36</c:f>
              <c:numCache>
                <c:formatCode>?0.00</c:formatCode>
                <c:ptCount val="11"/>
                <c:pt idx="0">
                  <c:v>1.68</c:v>
                </c:pt>
                <c:pt idx="1">
                  <c:v>1.78</c:v>
                </c:pt>
                <c:pt idx="2">
                  <c:v>1.35</c:v>
                </c:pt>
                <c:pt idx="3" formatCode="General">
                  <c:v>1.585</c:v>
                </c:pt>
                <c:pt idx="4">
                  <c:v>1.34</c:v>
                </c:pt>
                <c:pt idx="5">
                  <c:v>0.98</c:v>
                </c:pt>
                <c:pt idx="6">
                  <c:v>1.0900000000000001</c:v>
                </c:pt>
                <c:pt idx="7">
                  <c:v>1.49</c:v>
                </c:pt>
                <c:pt idx="8">
                  <c:v>1.31</c:v>
                </c:pt>
                <c:pt idx="9">
                  <c:v>1.53</c:v>
                </c:pt>
                <c:pt idx="10">
                  <c:v>1.57</c:v>
                </c:pt>
              </c:numCache>
            </c:numRef>
          </c:xVal>
          <c:yVal>
            <c:numRef>
              <c:f>prelim_plots!$AA$26:$AA$36</c:f>
              <c:numCache>
                <c:formatCode>General</c:formatCode>
                <c:ptCount val="11"/>
                <c:pt idx="0">
                  <c:v>3.28</c:v>
                </c:pt>
                <c:pt idx="1">
                  <c:v>3.54</c:v>
                </c:pt>
                <c:pt idx="2">
                  <c:v>4.03</c:v>
                </c:pt>
                <c:pt idx="3">
                  <c:v>4.08</c:v>
                </c:pt>
                <c:pt idx="4">
                  <c:v>4.26</c:v>
                </c:pt>
                <c:pt idx="5">
                  <c:v>4.4400000000000004</c:v>
                </c:pt>
                <c:pt idx="6">
                  <c:v>4.46</c:v>
                </c:pt>
                <c:pt idx="7">
                  <c:v>4.49</c:v>
                </c:pt>
                <c:pt idx="8">
                  <c:v>4.72</c:v>
                </c:pt>
                <c:pt idx="9">
                  <c:v>4.8600000000000003</c:v>
                </c:pt>
                <c:pt idx="10">
                  <c:v>4.95</c:v>
                </c:pt>
              </c:numCache>
            </c:numRef>
          </c:yVal>
          <c:smooth val="0"/>
          <c:extLst>
            <c:ext xmlns:c16="http://schemas.microsoft.com/office/drawing/2014/chart" uri="{C3380CC4-5D6E-409C-BE32-E72D297353CC}">
              <c16:uniqueId val="{00000001-C8F9-4CDE-B6B9-9BD8B107C115}"/>
            </c:ext>
          </c:extLst>
        </c:ser>
        <c:dLbls>
          <c:showLegendKey val="0"/>
          <c:showVal val="0"/>
          <c:showCatName val="0"/>
          <c:showSerName val="0"/>
          <c:showPercent val="0"/>
          <c:showBubbleSize val="0"/>
        </c:dLbls>
        <c:axId val="1156475632"/>
        <c:axId val="1156477712"/>
      </c:scatterChart>
      <c:valAx>
        <c:axId val="115647563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SOM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6477712"/>
        <c:crosses val="autoZero"/>
        <c:crossBetween val="midCat"/>
      </c:valAx>
      <c:valAx>
        <c:axId val="1156477712"/>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N (%)</a:t>
                </a:r>
              </a:p>
            </c:rich>
          </c:tx>
          <c:layout>
            <c:manualLayout>
              <c:xMode val="edge"/>
              <c:yMode val="edge"/>
              <c:x val="8.1707418151678417E-3"/>
              <c:y val="0.3145789717461787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6475632"/>
        <c:crosses val="autoZero"/>
        <c:crossBetween val="midCat"/>
      </c:valAx>
      <c:spPr>
        <a:noFill/>
        <a:ln>
          <a:noFill/>
        </a:ln>
        <a:effectLst/>
      </c:spPr>
    </c:plotArea>
    <c:legend>
      <c:legendPos val="r"/>
      <c:legendEntry>
        <c:idx val="2"/>
        <c:delete val="1"/>
      </c:legendEntry>
      <c:layout>
        <c:manualLayout>
          <c:xMode val="edge"/>
          <c:yMode val="edge"/>
          <c:x val="0.69393431590281995"/>
          <c:y val="0.5526280685502547"/>
          <c:w val="0.23994548758328285"/>
          <c:h val="0.1799490504863362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Soil Sodium Effects</a:t>
            </a:r>
            <a:r>
              <a:rPr lang="en-US" sz="1100" baseline="0"/>
              <a:t> on</a:t>
            </a:r>
            <a:r>
              <a:rPr lang="en-US" sz="1100"/>
              <a:t> Tomato K Uptake</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98297328218588"/>
          <c:y val="0.12831036745406824"/>
          <c:w val="0.7768796688875429"/>
          <c:h val="0.68702628332245996"/>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inear"/>
            <c:dispRSqr val="0"/>
            <c:dispEq val="0"/>
          </c:trendline>
          <c:xVal>
            <c:numRef>
              <c:f>prelim_plots!$Y$2:$Y$25</c:f>
              <c:numCache>
                <c:formatCode>??0</c:formatCode>
                <c:ptCount val="24"/>
                <c:pt idx="0">
                  <c:v>106</c:v>
                </c:pt>
                <c:pt idx="1">
                  <c:v>89</c:v>
                </c:pt>
                <c:pt idx="2">
                  <c:v>156</c:v>
                </c:pt>
                <c:pt idx="3" formatCode="General">
                  <c:v>128.5</c:v>
                </c:pt>
                <c:pt idx="4">
                  <c:v>760</c:v>
                </c:pt>
                <c:pt idx="5">
                  <c:v>579</c:v>
                </c:pt>
                <c:pt idx="6" formatCode="General">
                  <c:v>824.5</c:v>
                </c:pt>
                <c:pt idx="7">
                  <c:v>169</c:v>
                </c:pt>
                <c:pt idx="8">
                  <c:v>490</c:v>
                </c:pt>
                <c:pt idx="9">
                  <c:v>218</c:v>
                </c:pt>
                <c:pt idx="10">
                  <c:v>338</c:v>
                </c:pt>
                <c:pt idx="11">
                  <c:v>311</c:v>
                </c:pt>
                <c:pt idx="12">
                  <c:v>214</c:v>
                </c:pt>
                <c:pt idx="13" formatCode="General">
                  <c:v>173.5</c:v>
                </c:pt>
                <c:pt idx="14">
                  <c:v>186</c:v>
                </c:pt>
                <c:pt idx="15">
                  <c:v>154</c:v>
                </c:pt>
                <c:pt idx="16">
                  <c:v>251</c:v>
                </c:pt>
                <c:pt idx="17" formatCode="General">
                  <c:v>217.5</c:v>
                </c:pt>
                <c:pt idx="18">
                  <c:v>84</c:v>
                </c:pt>
                <c:pt idx="19" formatCode="?0.00">
                  <c:v>150.75</c:v>
                </c:pt>
                <c:pt idx="20">
                  <c:v>389</c:v>
                </c:pt>
                <c:pt idx="21">
                  <c:v>97</c:v>
                </c:pt>
                <c:pt idx="22">
                  <c:v>469</c:v>
                </c:pt>
                <c:pt idx="23">
                  <c:v>188</c:v>
                </c:pt>
              </c:numCache>
            </c:numRef>
          </c:xVal>
          <c:yVal>
            <c:numRef>
              <c:f>prelim_plots!$AC$2:$AC$25</c:f>
              <c:numCache>
                <c:formatCode>General</c:formatCode>
                <c:ptCount val="24"/>
                <c:pt idx="0">
                  <c:v>2.29</c:v>
                </c:pt>
                <c:pt idx="1">
                  <c:v>2.75</c:v>
                </c:pt>
                <c:pt idx="2">
                  <c:v>2.4</c:v>
                </c:pt>
                <c:pt idx="3">
                  <c:v>2.86</c:v>
                </c:pt>
                <c:pt idx="4">
                  <c:v>1.1499999999999999</c:v>
                </c:pt>
                <c:pt idx="5">
                  <c:v>2.21</c:v>
                </c:pt>
                <c:pt idx="6">
                  <c:v>1.68</c:v>
                </c:pt>
                <c:pt idx="7">
                  <c:v>1.23</c:v>
                </c:pt>
                <c:pt idx="8">
                  <c:v>2.35</c:v>
                </c:pt>
                <c:pt idx="9">
                  <c:v>1.73</c:v>
                </c:pt>
                <c:pt idx="10">
                  <c:v>1.61</c:v>
                </c:pt>
                <c:pt idx="11">
                  <c:v>2.17</c:v>
                </c:pt>
                <c:pt idx="12">
                  <c:v>1.9</c:v>
                </c:pt>
                <c:pt idx="13">
                  <c:v>2.94</c:v>
                </c:pt>
                <c:pt idx="14">
                  <c:v>1.48</c:v>
                </c:pt>
                <c:pt idx="15">
                  <c:v>1.58</c:v>
                </c:pt>
                <c:pt idx="16">
                  <c:v>2.84</c:v>
                </c:pt>
                <c:pt idx="17">
                  <c:v>2.15</c:v>
                </c:pt>
                <c:pt idx="18">
                  <c:v>1.76</c:v>
                </c:pt>
                <c:pt idx="19">
                  <c:v>1.71</c:v>
                </c:pt>
                <c:pt idx="20">
                  <c:v>2.29</c:v>
                </c:pt>
                <c:pt idx="21">
                  <c:v>1.76</c:v>
                </c:pt>
                <c:pt idx="22">
                  <c:v>2.65</c:v>
                </c:pt>
                <c:pt idx="23">
                  <c:v>2.76</c:v>
                </c:pt>
              </c:numCache>
            </c:numRef>
          </c:yVal>
          <c:smooth val="0"/>
          <c:extLst>
            <c:ext xmlns:c16="http://schemas.microsoft.com/office/drawing/2014/chart" uri="{C3380CC4-5D6E-409C-BE32-E72D297353CC}">
              <c16:uniqueId val="{00000000-4248-4EA5-9DCA-5810A75CEC67}"/>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prelim_plots!$Y$26:$Y$36</c:f>
              <c:numCache>
                <c:formatCode>??0</c:formatCode>
                <c:ptCount val="11"/>
                <c:pt idx="0">
                  <c:v>157</c:v>
                </c:pt>
                <c:pt idx="1">
                  <c:v>114</c:v>
                </c:pt>
                <c:pt idx="2">
                  <c:v>37</c:v>
                </c:pt>
                <c:pt idx="3" formatCode="General">
                  <c:v>165.5</c:v>
                </c:pt>
                <c:pt idx="4">
                  <c:v>64</c:v>
                </c:pt>
                <c:pt idx="5">
                  <c:v>74</c:v>
                </c:pt>
                <c:pt idx="6">
                  <c:v>58</c:v>
                </c:pt>
                <c:pt idx="7">
                  <c:v>125</c:v>
                </c:pt>
                <c:pt idx="8">
                  <c:v>158</c:v>
                </c:pt>
                <c:pt idx="9">
                  <c:v>102</c:v>
                </c:pt>
                <c:pt idx="10">
                  <c:v>191</c:v>
                </c:pt>
              </c:numCache>
            </c:numRef>
          </c:xVal>
          <c:yVal>
            <c:numRef>
              <c:f>prelim_plots!$AC$26:$AC$36</c:f>
              <c:numCache>
                <c:formatCode>General</c:formatCode>
                <c:ptCount val="11"/>
                <c:pt idx="0">
                  <c:v>1.65</c:v>
                </c:pt>
                <c:pt idx="1">
                  <c:v>2.59</c:v>
                </c:pt>
                <c:pt idx="2">
                  <c:v>3.21</c:v>
                </c:pt>
                <c:pt idx="3">
                  <c:v>2.02</c:v>
                </c:pt>
                <c:pt idx="4">
                  <c:v>2.88</c:v>
                </c:pt>
                <c:pt idx="5">
                  <c:v>2.12</c:v>
                </c:pt>
                <c:pt idx="6">
                  <c:v>1.82</c:v>
                </c:pt>
                <c:pt idx="7">
                  <c:v>3.41</c:v>
                </c:pt>
                <c:pt idx="8">
                  <c:v>2.5499999999999998</c:v>
                </c:pt>
                <c:pt idx="9">
                  <c:v>3.86</c:v>
                </c:pt>
                <c:pt idx="10">
                  <c:v>2.63</c:v>
                </c:pt>
              </c:numCache>
            </c:numRef>
          </c:yVal>
          <c:smooth val="0"/>
          <c:extLst>
            <c:ext xmlns:c16="http://schemas.microsoft.com/office/drawing/2014/chart" uri="{C3380CC4-5D6E-409C-BE32-E72D297353CC}">
              <c16:uniqueId val="{00000001-4248-4EA5-9DCA-5810A75CEC67}"/>
            </c:ext>
          </c:extLst>
        </c:ser>
        <c:dLbls>
          <c:showLegendKey val="0"/>
          <c:showVal val="0"/>
          <c:showCatName val="0"/>
          <c:showSerName val="0"/>
          <c:showPercent val="0"/>
          <c:showBubbleSize val="0"/>
        </c:dLbls>
        <c:axId val="1690406224"/>
        <c:axId val="1690407056"/>
      </c:scatterChart>
      <c:valAx>
        <c:axId val="16904062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Sodium (ppm)</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7056"/>
        <c:crosses val="autoZero"/>
        <c:crossBetween val="midCat"/>
      </c:valAx>
      <c:valAx>
        <c:axId val="1690407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K (%)</a:t>
                </a:r>
              </a:p>
            </c:rich>
          </c:tx>
          <c:layout>
            <c:manualLayout>
              <c:xMode val="edge"/>
              <c:yMode val="edge"/>
              <c:x val="5.5555555555555558E-3"/>
              <c:y val="0.2826658646835812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6224"/>
        <c:crosses val="autoZero"/>
        <c:crossBetween val="midCat"/>
      </c:valAx>
      <c:spPr>
        <a:noFill/>
        <a:ln>
          <a:noFill/>
        </a:ln>
        <a:effectLst/>
      </c:spPr>
    </c:plotArea>
    <c:legend>
      <c:legendPos val="r"/>
      <c:legendEntry>
        <c:idx val="2"/>
        <c:delete val="1"/>
      </c:legendEntry>
      <c:layout>
        <c:manualLayout>
          <c:xMode val="edge"/>
          <c:yMode val="edge"/>
          <c:x val="0.68043508984453871"/>
          <c:y val="0.20778045039540971"/>
          <c:w val="0.24493606568409718"/>
          <c:h val="0.1728344320497648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Soil Sodium Effects</a:t>
            </a:r>
            <a:r>
              <a:rPr lang="en-US" sz="1100" baseline="0"/>
              <a:t> on</a:t>
            </a:r>
            <a:r>
              <a:rPr lang="en-US" sz="1100"/>
              <a:t> Tomato N Uptake</a:t>
            </a:r>
          </a:p>
        </c:rich>
      </c:tx>
      <c:layout>
        <c:manualLayout>
          <c:xMode val="edge"/>
          <c:yMode val="edge"/>
          <c:x val="0.16585470085470086"/>
          <c:y val="3.281378178835110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573083653004913"/>
          <c:y val="0.12831039455096455"/>
          <c:w val="0.76940103640891044"/>
          <c:h val="0.68702628332245996"/>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inear"/>
            <c:dispRSqr val="0"/>
            <c:dispEq val="0"/>
          </c:trendline>
          <c:xVal>
            <c:numRef>
              <c:f>prelim_plots!$Y$2:$Y$25</c:f>
              <c:numCache>
                <c:formatCode>??0</c:formatCode>
                <c:ptCount val="24"/>
                <c:pt idx="0">
                  <c:v>106</c:v>
                </c:pt>
                <c:pt idx="1">
                  <c:v>89</c:v>
                </c:pt>
                <c:pt idx="2">
                  <c:v>156</c:v>
                </c:pt>
                <c:pt idx="3" formatCode="General">
                  <c:v>128.5</c:v>
                </c:pt>
                <c:pt idx="4">
                  <c:v>760</c:v>
                </c:pt>
                <c:pt idx="5">
                  <c:v>579</c:v>
                </c:pt>
                <c:pt idx="6" formatCode="General">
                  <c:v>824.5</c:v>
                </c:pt>
                <c:pt idx="7">
                  <c:v>169</c:v>
                </c:pt>
                <c:pt idx="8">
                  <c:v>490</c:v>
                </c:pt>
                <c:pt idx="9">
                  <c:v>218</c:v>
                </c:pt>
                <c:pt idx="10">
                  <c:v>338</c:v>
                </c:pt>
                <c:pt idx="11">
                  <c:v>311</c:v>
                </c:pt>
                <c:pt idx="12">
                  <c:v>214</c:v>
                </c:pt>
                <c:pt idx="13" formatCode="General">
                  <c:v>173.5</c:v>
                </c:pt>
                <c:pt idx="14">
                  <c:v>186</c:v>
                </c:pt>
                <c:pt idx="15">
                  <c:v>154</c:v>
                </c:pt>
                <c:pt idx="16">
                  <c:v>251</c:v>
                </c:pt>
                <c:pt idx="17" formatCode="General">
                  <c:v>217.5</c:v>
                </c:pt>
                <c:pt idx="18">
                  <c:v>84</c:v>
                </c:pt>
                <c:pt idx="19" formatCode="?0.00">
                  <c:v>150.75</c:v>
                </c:pt>
                <c:pt idx="20">
                  <c:v>389</c:v>
                </c:pt>
                <c:pt idx="21">
                  <c:v>97</c:v>
                </c:pt>
                <c:pt idx="22">
                  <c:v>469</c:v>
                </c:pt>
                <c:pt idx="23">
                  <c:v>188</c:v>
                </c:pt>
              </c:numCache>
            </c:numRef>
          </c:xVal>
          <c:yVal>
            <c:numRef>
              <c:f>prelim_plots!$AA$2:$AA$25</c:f>
              <c:numCache>
                <c:formatCode>General</c:formatCode>
                <c:ptCount val="24"/>
                <c:pt idx="0">
                  <c:v>4.22</c:v>
                </c:pt>
                <c:pt idx="1">
                  <c:v>5.3</c:v>
                </c:pt>
                <c:pt idx="2">
                  <c:v>5.68</c:v>
                </c:pt>
                <c:pt idx="3">
                  <c:v>5.77</c:v>
                </c:pt>
                <c:pt idx="4">
                  <c:v>3.13</c:v>
                </c:pt>
                <c:pt idx="5">
                  <c:v>3.17</c:v>
                </c:pt>
                <c:pt idx="6">
                  <c:v>3.45</c:v>
                </c:pt>
                <c:pt idx="7">
                  <c:v>3.57</c:v>
                </c:pt>
                <c:pt idx="8">
                  <c:v>3.78</c:v>
                </c:pt>
                <c:pt idx="9">
                  <c:v>3.83</c:v>
                </c:pt>
                <c:pt idx="10">
                  <c:v>3.85</c:v>
                </c:pt>
                <c:pt idx="11">
                  <c:v>3.88</c:v>
                </c:pt>
                <c:pt idx="12">
                  <c:v>3.96</c:v>
                </c:pt>
                <c:pt idx="13">
                  <c:v>4.38</c:v>
                </c:pt>
                <c:pt idx="14">
                  <c:v>4.4000000000000004</c:v>
                </c:pt>
                <c:pt idx="15">
                  <c:v>4.58</c:v>
                </c:pt>
                <c:pt idx="16">
                  <c:v>4.6399999999999997</c:v>
                </c:pt>
                <c:pt idx="17">
                  <c:v>4.67</c:v>
                </c:pt>
                <c:pt idx="18">
                  <c:v>4.6900000000000004</c:v>
                </c:pt>
                <c:pt idx="19">
                  <c:v>4.71</c:v>
                </c:pt>
                <c:pt idx="20">
                  <c:v>4.78</c:v>
                </c:pt>
                <c:pt idx="21">
                  <c:v>4.8</c:v>
                </c:pt>
                <c:pt idx="22">
                  <c:v>4.9000000000000004</c:v>
                </c:pt>
                <c:pt idx="23">
                  <c:v>5.4</c:v>
                </c:pt>
              </c:numCache>
            </c:numRef>
          </c:yVal>
          <c:smooth val="0"/>
          <c:extLst>
            <c:ext xmlns:c16="http://schemas.microsoft.com/office/drawing/2014/chart" uri="{C3380CC4-5D6E-409C-BE32-E72D297353CC}">
              <c16:uniqueId val="{00000000-F79E-449E-8990-465B65F3DBC6}"/>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prelim_plots!$Y$26:$Y$36</c:f>
              <c:numCache>
                <c:formatCode>??0</c:formatCode>
                <c:ptCount val="11"/>
                <c:pt idx="0">
                  <c:v>157</c:v>
                </c:pt>
                <c:pt idx="1">
                  <c:v>114</c:v>
                </c:pt>
                <c:pt idx="2">
                  <c:v>37</c:v>
                </c:pt>
                <c:pt idx="3" formatCode="General">
                  <c:v>165.5</c:v>
                </c:pt>
                <c:pt idx="4">
                  <c:v>64</c:v>
                </c:pt>
                <c:pt idx="5">
                  <c:v>74</c:v>
                </c:pt>
                <c:pt idx="6">
                  <c:v>58</c:v>
                </c:pt>
                <c:pt idx="7">
                  <c:v>125</c:v>
                </c:pt>
                <c:pt idx="8">
                  <c:v>158</c:v>
                </c:pt>
                <c:pt idx="9">
                  <c:v>102</c:v>
                </c:pt>
                <c:pt idx="10">
                  <c:v>191</c:v>
                </c:pt>
              </c:numCache>
            </c:numRef>
          </c:xVal>
          <c:yVal>
            <c:numRef>
              <c:f>prelim_plots!$AA$26:$AA$36</c:f>
              <c:numCache>
                <c:formatCode>General</c:formatCode>
                <c:ptCount val="11"/>
                <c:pt idx="0">
                  <c:v>3.28</c:v>
                </c:pt>
                <c:pt idx="1">
                  <c:v>3.54</c:v>
                </c:pt>
                <c:pt idx="2">
                  <c:v>4.03</c:v>
                </c:pt>
                <c:pt idx="3">
                  <c:v>4.08</c:v>
                </c:pt>
                <c:pt idx="4">
                  <c:v>4.26</c:v>
                </c:pt>
                <c:pt idx="5">
                  <c:v>4.4400000000000004</c:v>
                </c:pt>
                <c:pt idx="6">
                  <c:v>4.46</c:v>
                </c:pt>
                <c:pt idx="7">
                  <c:v>4.49</c:v>
                </c:pt>
                <c:pt idx="8">
                  <c:v>4.72</c:v>
                </c:pt>
                <c:pt idx="9">
                  <c:v>4.8600000000000003</c:v>
                </c:pt>
                <c:pt idx="10">
                  <c:v>4.95</c:v>
                </c:pt>
              </c:numCache>
            </c:numRef>
          </c:yVal>
          <c:smooth val="0"/>
          <c:extLst>
            <c:ext xmlns:c16="http://schemas.microsoft.com/office/drawing/2014/chart" uri="{C3380CC4-5D6E-409C-BE32-E72D297353CC}">
              <c16:uniqueId val="{00000001-F79E-449E-8990-465B65F3DBC6}"/>
            </c:ext>
          </c:extLst>
        </c:ser>
        <c:dLbls>
          <c:showLegendKey val="0"/>
          <c:showVal val="0"/>
          <c:showCatName val="0"/>
          <c:showSerName val="0"/>
          <c:showPercent val="0"/>
          <c:showBubbleSize val="0"/>
        </c:dLbls>
        <c:axId val="1690406224"/>
        <c:axId val="1690407056"/>
      </c:scatterChart>
      <c:valAx>
        <c:axId val="16904062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Sodium (ppm)</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7056"/>
        <c:crosses val="autoZero"/>
        <c:crossBetween val="midCat"/>
      </c:valAx>
      <c:valAx>
        <c:axId val="1690407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a:t>
                </a:r>
                <a:r>
                  <a:rPr lang="en-US" baseline="0"/>
                  <a:t> N</a:t>
                </a:r>
                <a:r>
                  <a:rPr lang="en-US"/>
                  <a:t> (%)</a:t>
                </a:r>
              </a:p>
            </c:rich>
          </c:tx>
          <c:layout>
            <c:manualLayout>
              <c:xMode val="edge"/>
              <c:yMode val="edge"/>
              <c:x val="8.3333333333333332E-3"/>
              <c:y val="0.3289621609798775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6224"/>
        <c:crosses val="autoZero"/>
        <c:crossBetween val="midCat"/>
      </c:valAx>
      <c:spPr>
        <a:noFill/>
        <a:ln>
          <a:noFill/>
        </a:ln>
        <a:effectLst/>
      </c:spPr>
    </c:plotArea>
    <c:legend>
      <c:legendPos val="r"/>
      <c:legendEntry>
        <c:idx val="2"/>
        <c:delete val="1"/>
      </c:legendEntry>
      <c:layout>
        <c:manualLayout>
          <c:xMode val="edge"/>
          <c:yMode val="edge"/>
          <c:x val="0.68667911703344775"/>
          <c:y val="0.20507623175486986"/>
          <c:w val="0.28008412409987216"/>
          <c:h val="0.1640689089417555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Mycorrhizal Hyphae vs. Leaf K</a:t>
            </a:r>
          </a:p>
        </c:rich>
      </c:tx>
      <c:layout>
        <c:manualLayout>
          <c:xMode val="edge"/>
          <c:yMode val="edge"/>
          <c:x val="0.28484601264531917"/>
          <c:y val="4.557559980812872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723264789664804"/>
          <c:y val="0.17171296296296296"/>
          <c:w val="0.76482798316600986"/>
          <c:h val="0.6617917846264302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og"/>
            <c:dispRSqr val="0"/>
            <c:dispEq val="0"/>
          </c:trendline>
          <c:xVal>
            <c:numRef>
              <c:f>prelim_plots!$AJ$2:$AJ$24</c:f>
              <c:numCache>
                <c:formatCode>General</c:formatCode>
                <c:ptCount val="23"/>
                <c:pt idx="0">
                  <c:v>7</c:v>
                </c:pt>
                <c:pt idx="1">
                  <c:v>8</c:v>
                </c:pt>
                <c:pt idx="2">
                  <c:v>9</c:v>
                </c:pt>
                <c:pt idx="3">
                  <c:v>9</c:v>
                </c:pt>
                <c:pt idx="4">
                  <c:v>9</c:v>
                </c:pt>
                <c:pt idx="5">
                  <c:v>9</c:v>
                </c:pt>
                <c:pt idx="6">
                  <c:v>12</c:v>
                </c:pt>
                <c:pt idx="7">
                  <c:v>14</c:v>
                </c:pt>
                <c:pt idx="8">
                  <c:v>14</c:v>
                </c:pt>
                <c:pt idx="9">
                  <c:v>16</c:v>
                </c:pt>
                <c:pt idx="10">
                  <c:v>16</c:v>
                </c:pt>
                <c:pt idx="11">
                  <c:v>17</c:v>
                </c:pt>
                <c:pt idx="12">
                  <c:v>20</c:v>
                </c:pt>
                <c:pt idx="13">
                  <c:v>21</c:v>
                </c:pt>
                <c:pt idx="14">
                  <c:v>21</c:v>
                </c:pt>
                <c:pt idx="15">
                  <c:v>24</c:v>
                </c:pt>
                <c:pt idx="16">
                  <c:v>25</c:v>
                </c:pt>
                <c:pt idx="17">
                  <c:v>25</c:v>
                </c:pt>
                <c:pt idx="18">
                  <c:v>26</c:v>
                </c:pt>
                <c:pt idx="19">
                  <c:v>27</c:v>
                </c:pt>
                <c:pt idx="20">
                  <c:v>31</c:v>
                </c:pt>
                <c:pt idx="21">
                  <c:v>38</c:v>
                </c:pt>
                <c:pt idx="22">
                  <c:v>40</c:v>
                </c:pt>
              </c:numCache>
            </c:numRef>
          </c:xVal>
          <c:yVal>
            <c:numRef>
              <c:f>prelim_plots!$AI$2:$AI$24</c:f>
              <c:numCache>
                <c:formatCode>General</c:formatCode>
                <c:ptCount val="23"/>
                <c:pt idx="0">
                  <c:v>1.76</c:v>
                </c:pt>
                <c:pt idx="1">
                  <c:v>1.48</c:v>
                </c:pt>
                <c:pt idx="2">
                  <c:v>1.68</c:v>
                </c:pt>
                <c:pt idx="3">
                  <c:v>1.1499999999999999</c:v>
                </c:pt>
                <c:pt idx="4">
                  <c:v>1.58</c:v>
                </c:pt>
                <c:pt idx="5">
                  <c:v>1.71</c:v>
                </c:pt>
                <c:pt idx="6">
                  <c:v>2.15</c:v>
                </c:pt>
                <c:pt idx="7">
                  <c:v>2.21</c:v>
                </c:pt>
                <c:pt idx="8">
                  <c:v>1.76</c:v>
                </c:pt>
                <c:pt idx="9">
                  <c:v>2.86</c:v>
                </c:pt>
                <c:pt idx="10">
                  <c:v>1.73</c:v>
                </c:pt>
                <c:pt idx="11">
                  <c:v>2.35</c:v>
                </c:pt>
                <c:pt idx="12">
                  <c:v>2.29</c:v>
                </c:pt>
                <c:pt idx="13">
                  <c:v>2.29</c:v>
                </c:pt>
                <c:pt idx="14">
                  <c:v>2.84</c:v>
                </c:pt>
                <c:pt idx="15">
                  <c:v>2.17</c:v>
                </c:pt>
                <c:pt idx="16">
                  <c:v>2.65</c:v>
                </c:pt>
                <c:pt idx="17">
                  <c:v>2.76</c:v>
                </c:pt>
                <c:pt idx="18">
                  <c:v>2.4</c:v>
                </c:pt>
                <c:pt idx="19">
                  <c:v>1.9</c:v>
                </c:pt>
                <c:pt idx="20">
                  <c:v>2.75</c:v>
                </c:pt>
                <c:pt idx="21">
                  <c:v>2.94</c:v>
                </c:pt>
                <c:pt idx="22">
                  <c:v>1.61</c:v>
                </c:pt>
              </c:numCache>
            </c:numRef>
          </c:yVal>
          <c:smooth val="0"/>
          <c:extLst>
            <c:ext xmlns:c16="http://schemas.microsoft.com/office/drawing/2014/chart" uri="{C3380CC4-5D6E-409C-BE32-E72D297353CC}">
              <c16:uniqueId val="{00000000-EC4C-4DE5-9DB5-F2B3DA2296C0}"/>
            </c:ext>
          </c:extLst>
        </c:ser>
        <c:dLbls>
          <c:showLegendKey val="0"/>
          <c:showVal val="0"/>
          <c:showCatName val="0"/>
          <c:showSerName val="0"/>
          <c:showPercent val="0"/>
          <c:showBubbleSize val="0"/>
        </c:dLbls>
        <c:axId val="1696682352"/>
        <c:axId val="1696673200"/>
      </c:scatterChart>
      <c:valAx>
        <c:axId val="16966823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Hyphae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6673200"/>
        <c:crosses val="autoZero"/>
        <c:crossBetween val="midCat"/>
      </c:valAx>
      <c:valAx>
        <c:axId val="1696673200"/>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K (%)</a:t>
                </a:r>
              </a:p>
            </c:rich>
          </c:tx>
          <c:layout>
            <c:manualLayout>
              <c:xMode val="edge"/>
              <c:yMode val="edge"/>
              <c:x val="7.2467282605378994E-3"/>
              <c:y val="0.2957782954684784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6682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Tautges</dc:creator>
  <cp:keywords/>
  <dc:description/>
  <cp:lastModifiedBy>Nicole E Tautges</cp:lastModifiedBy>
  <cp:revision>2</cp:revision>
  <dcterms:created xsi:type="dcterms:W3CDTF">2019-09-16T23:38:00Z</dcterms:created>
  <dcterms:modified xsi:type="dcterms:W3CDTF">2019-09-16T23:38:00Z</dcterms:modified>
</cp:coreProperties>
</file>